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240" w:lineRule="auto"/>
        <w:rPr/>
      </w:pPr>
      <w:bookmarkStart w:colFirst="0" w:colLast="0" w:name="_gjdgxs" w:id="0"/>
      <w:bookmarkEnd w:id="0"/>
      <w:r w:rsidDel="00000000" w:rsidR="00000000" w:rsidRPr="00000000">
        <w:rPr>
          <w:rtl w:val="0"/>
        </w:rPr>
        <w:t xml:space="preserve">En 2022, Maersk reporta aumento de ingresos de 52%</w:t>
      </w:r>
    </w:p>
    <w:p w:rsidR="00000000" w:rsidDel="00000000" w:rsidP="00000000" w:rsidRDefault="00000000" w:rsidRPr="00000000" w14:paraId="00000002">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Sin aún haber concluido el 2022, el grupo danés Maersk reportó en su ejercicio hasta junio de este año resultados económicos récord con un incremento del 52% de sus ingresos equivalentes a 21.307 millones de euros. </w:t>
      </w:r>
    </w:p>
    <w:p w:rsidR="00000000" w:rsidDel="00000000" w:rsidP="00000000" w:rsidRDefault="00000000" w:rsidRPr="00000000" w14:paraId="00000003">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De hecho, estos resultados obtenidos por la compañía durante el primer semestre del año, se aproximan a los conseguidos en el ejercicio completo de 2021.</w:t>
      </w:r>
    </w:p>
    <w:p w:rsidR="00000000" w:rsidDel="00000000" w:rsidP="00000000" w:rsidRDefault="00000000" w:rsidRPr="00000000" w14:paraId="00000004">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Con estos logros, todas las divisiones del grupo mejoraron sus resultados semestrales con crecimientos a doble dígito, tanto en beneficios como en ingresos.</w:t>
      </w:r>
    </w:p>
    <w:p w:rsidR="00000000" w:rsidDel="00000000" w:rsidP="00000000" w:rsidRDefault="00000000" w:rsidRPr="00000000" w14:paraId="00000005">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También el Ebitda (beneficio bruto de explotación), creció hasta los 10.113 millones de euros y los beneficios se duplicaron si se comparan con el mismo periodo de 2021.</w:t>
      </w:r>
    </w:p>
    <w:p w:rsidR="00000000" w:rsidDel="00000000" w:rsidP="00000000" w:rsidRDefault="00000000" w:rsidRPr="00000000" w14:paraId="00000006">
      <w:pPr>
        <w:pStyle w:val="Heading2"/>
        <w:spacing w:after="240" w:before="240" w:lineRule="auto"/>
        <w:jc w:val="both"/>
        <w:rPr/>
      </w:pPr>
      <w:bookmarkStart w:colFirst="0" w:colLast="0" w:name="_30j0zll" w:id="1"/>
      <w:bookmarkEnd w:id="1"/>
      <w:r w:rsidDel="00000000" w:rsidR="00000000" w:rsidRPr="00000000">
        <w:rPr>
          <w:rtl w:val="0"/>
        </w:rPr>
        <w:t xml:space="preserve">¿A qué se deben estos resultados?</w:t>
      </w:r>
    </w:p>
    <w:p w:rsidR="00000000" w:rsidDel="00000000" w:rsidP="00000000" w:rsidRDefault="00000000" w:rsidRPr="00000000" w14:paraId="00000007">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A que se han venido presentando condiciones excepcionales del mercado y a que el gigante logístico y marítimo se ha transformado hacia una oferta de logística integrada.</w:t>
      </w:r>
    </w:p>
    <w:p w:rsidR="00000000" w:rsidDel="00000000" w:rsidP="00000000" w:rsidRDefault="00000000" w:rsidRPr="00000000" w14:paraId="00000008">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Otro factor que influyó en el logro de estos resultados, fue que la compañía estimó que las tarifas de los fletes marítimos alcanzarían de forma gradual niveles normales para el cuarto trimestre de 2022.</w:t>
      </w:r>
    </w:p>
    <w:p w:rsidR="00000000" w:rsidDel="00000000" w:rsidP="00000000" w:rsidRDefault="00000000" w:rsidRPr="00000000" w14:paraId="00000009">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Los resultados también se lograron gracias a:</w:t>
      </w:r>
    </w:p>
    <w:p w:rsidR="00000000" w:rsidDel="00000000" w:rsidP="00000000" w:rsidRDefault="00000000" w:rsidRPr="00000000" w14:paraId="0000000A">
      <w:pPr>
        <w:numPr>
          <w:ilvl w:val="0"/>
          <w:numId w:val="1"/>
        </w:numPr>
        <w:spacing w:after="0" w:befor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El notable incremento de las tasas de contratación en el sector marítimo.</w:t>
      </w:r>
      <w:r w:rsidDel="00000000" w:rsidR="00000000" w:rsidRPr="00000000">
        <w:rPr>
          <w:rtl w:val="0"/>
        </w:rPr>
      </w:r>
    </w:p>
    <w:p w:rsidR="00000000" w:rsidDel="00000000" w:rsidP="00000000" w:rsidRDefault="00000000" w:rsidRPr="00000000" w14:paraId="0000000B">
      <w:pPr>
        <w:numPr>
          <w:ilvl w:val="0"/>
          <w:numId w:val="1"/>
        </w:numPr>
        <w:spacing w:after="0" w:before="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El vertiginoso crecimiento con rentabilidad del sector de la logística.</w:t>
      </w:r>
      <w:r w:rsidDel="00000000" w:rsidR="00000000" w:rsidRPr="00000000">
        <w:rPr>
          <w:rtl w:val="0"/>
        </w:rPr>
      </w:r>
    </w:p>
    <w:p w:rsidR="00000000" w:rsidDel="00000000" w:rsidP="00000000" w:rsidRDefault="00000000" w:rsidRPr="00000000" w14:paraId="0000000C">
      <w:pPr>
        <w:numPr>
          <w:ilvl w:val="0"/>
          <w:numId w:val="1"/>
        </w:numPr>
        <w:spacing w:after="240" w:before="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El sólido y continuo rendimiento de las terminales.</w:t>
      </w:r>
      <w:r w:rsidDel="00000000" w:rsidR="00000000" w:rsidRPr="00000000">
        <w:rPr>
          <w:rtl w:val="0"/>
        </w:rPr>
      </w:r>
    </w:p>
    <w:p w:rsidR="00000000" w:rsidDel="00000000" w:rsidP="00000000" w:rsidRDefault="00000000" w:rsidRPr="00000000" w14:paraId="0000000D">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Según Søren Skou, consejero delegado de Maersk, el negocio de logística volvió a crecer en volúmenes “por encima del mercado”. De hecho, afirma que los clientes de transporte marítimo de la compañía siguen comprando su propuesta de valor. Esto implica un crecimiento orgánico de los ingresos en un 36%.</w:t>
      </w:r>
    </w:p>
    <w:p w:rsidR="00000000" w:rsidDel="00000000" w:rsidP="00000000" w:rsidRDefault="00000000" w:rsidRPr="00000000" w14:paraId="0000000E">
      <w:pPr>
        <w:pStyle w:val="Heading2"/>
        <w:spacing w:after="240" w:before="240" w:lineRule="auto"/>
        <w:jc w:val="both"/>
        <w:rPr/>
      </w:pPr>
      <w:bookmarkStart w:colFirst="0" w:colLast="0" w:name="_1fob9te" w:id="2"/>
      <w:bookmarkEnd w:id="2"/>
      <w:r w:rsidDel="00000000" w:rsidR="00000000" w:rsidRPr="00000000">
        <w:rPr>
          <w:rtl w:val="0"/>
        </w:rPr>
        <w:t xml:space="preserve">Los resultados de la gestión</w:t>
      </w:r>
    </w:p>
    <w:p w:rsidR="00000000" w:rsidDel="00000000" w:rsidP="00000000" w:rsidRDefault="00000000" w:rsidRPr="00000000" w14:paraId="0000000F">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El resultado neto del segundo trimestre de 2022 de Maersk fue de 8.446 millones de euros.</w:t>
      </w:r>
    </w:p>
    <w:p w:rsidR="00000000" w:rsidDel="00000000" w:rsidP="00000000" w:rsidRDefault="00000000" w:rsidRPr="00000000" w14:paraId="00000010">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El del primer semestre acumulado ha sido de 15.124 millones de euros (más del doble del beneficio obtenido durante el primer semestre de 2021).</w:t>
      </w:r>
    </w:p>
    <w:p w:rsidR="00000000" w:rsidDel="00000000" w:rsidP="00000000" w:rsidRDefault="00000000" w:rsidRPr="00000000" w14:paraId="00000011">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A partir de estos resultados, el grupo danés Maersk prevé un Ebitda de alrededor de 36.338 millones de euros para todo el año 2022.</w:t>
      </w:r>
    </w:p>
    <w:p w:rsidR="00000000" w:rsidDel="00000000" w:rsidP="00000000" w:rsidRDefault="00000000" w:rsidRPr="00000000" w14:paraId="00000012">
      <w:pPr>
        <w:pStyle w:val="Heading3"/>
        <w:spacing w:after="240" w:before="240" w:lineRule="auto"/>
        <w:jc w:val="both"/>
        <w:rPr/>
      </w:pPr>
      <w:bookmarkStart w:colFirst="0" w:colLast="0" w:name="_3znysh7" w:id="3"/>
      <w:bookmarkEnd w:id="3"/>
      <w:r w:rsidDel="00000000" w:rsidR="00000000" w:rsidRPr="00000000">
        <w:rPr>
          <w:rtl w:val="0"/>
        </w:rPr>
        <w:t xml:space="preserve">Resultados por divisiones</w:t>
      </w:r>
    </w:p>
    <w:p w:rsidR="00000000" w:rsidDel="00000000" w:rsidP="00000000" w:rsidRDefault="00000000" w:rsidRPr="00000000" w14:paraId="00000013">
      <w:pPr>
        <w:pStyle w:val="Heading4"/>
        <w:spacing w:after="240" w:before="240" w:lineRule="auto"/>
        <w:jc w:val="both"/>
        <w:rPr/>
      </w:pPr>
      <w:bookmarkStart w:colFirst="0" w:colLast="0" w:name="_2et92p0" w:id="4"/>
      <w:bookmarkEnd w:id="4"/>
      <w:r w:rsidDel="00000000" w:rsidR="00000000" w:rsidRPr="00000000">
        <w:rPr>
          <w:rtl w:val="0"/>
        </w:rPr>
        <w:t xml:space="preserve">División logística</w:t>
      </w:r>
    </w:p>
    <w:p w:rsidR="00000000" w:rsidDel="00000000" w:rsidP="00000000" w:rsidRDefault="00000000" w:rsidRPr="00000000" w14:paraId="00000014">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Entre abril y junio de 2022, los ingresos de la división logística crecieron en un 61% hasta alcanzar los 3.437,3 millones de euros en comparación a los 2.128,4 millones del mismo periodo en 2021.</w:t>
      </w:r>
    </w:p>
    <w:p w:rsidR="00000000" w:rsidDel="00000000" w:rsidP="00000000" w:rsidRDefault="00000000" w:rsidRPr="00000000" w14:paraId="00000015">
      <w:pPr>
        <w:pStyle w:val="Heading4"/>
        <w:spacing w:after="240" w:before="240" w:lineRule="auto"/>
        <w:jc w:val="both"/>
        <w:rPr/>
      </w:pPr>
      <w:bookmarkStart w:colFirst="0" w:colLast="0" w:name="_tyjcwt" w:id="5"/>
      <w:bookmarkEnd w:id="5"/>
      <w:r w:rsidDel="00000000" w:rsidR="00000000" w:rsidRPr="00000000">
        <w:rPr>
          <w:rtl w:val="0"/>
        </w:rPr>
        <w:t xml:space="preserve">Transporte aéreo</w:t>
      </w:r>
    </w:p>
    <w:p w:rsidR="00000000" w:rsidDel="00000000" w:rsidP="00000000" w:rsidRDefault="00000000" w:rsidRPr="00000000" w14:paraId="00000016">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Durante estos mismos meses, la compañía reforzó su oferta de transporte aéreo a través del lanzamiento de “Maersk Air Cargo”.</w:t>
      </w:r>
    </w:p>
    <w:p w:rsidR="00000000" w:rsidDel="00000000" w:rsidP="00000000" w:rsidRDefault="00000000" w:rsidRPr="00000000" w14:paraId="00000017">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Sin embargo, y en medio de este crecimiento, la empresa reconoce los efectos sufridos por el cierre de los puertos en China ante la política Covid cero, así como por la guerra de Ucrania.</w:t>
      </w:r>
    </w:p>
    <w:p w:rsidR="00000000" w:rsidDel="00000000" w:rsidP="00000000" w:rsidRDefault="00000000" w:rsidRPr="00000000" w14:paraId="00000018">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De otra parte, Maersk analiza que la demanda mundial de contenedores se reducirá durante 2022. Y este comportamiento es producto de la moderada demanda mundial de servicios logísticos en todas las cadenas de suministro.</w:t>
      </w:r>
    </w:p>
    <w:p w:rsidR="00000000" w:rsidDel="00000000" w:rsidP="00000000" w:rsidRDefault="00000000" w:rsidRPr="00000000" w14:paraId="00000019">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La naviera estima que el volumen mundial de contenedores disminuyó en un 2,3% comparativamente con el segundo trimestre de 2021, mientras que la carga aérea lo hizo en un 9,4%.</w:t>
      </w:r>
    </w:p>
    <w:p w:rsidR="00000000" w:rsidDel="00000000" w:rsidP="00000000" w:rsidRDefault="00000000" w:rsidRPr="00000000" w14:paraId="0000001A">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Maersk espera que en 2022 la demanda mundial de contenedores esté entre el -1% y el 1%.</w:t>
      </w:r>
    </w:p>
    <w:p w:rsidR="00000000" w:rsidDel="00000000" w:rsidP="00000000" w:rsidRDefault="00000000" w:rsidRPr="00000000" w14:paraId="0000001B">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C">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D">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E">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F">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